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840/2026</w:t>
      </w:r>
      <w:r>
        <w:rPr>
          <w:rFonts w:ascii="Arial" w:hAnsi="Arial" w:cs="Arial"/>
          <w:b/>
          <w:bCs/>
          <w:sz w:val="22"/>
          <w:szCs w:val="22"/>
          <w:highlight w:val="none"/>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985867-52/2026</w:t>
      </w:r>
      <w:bookmarkStart w:id="16" w:name="_GoBack"/>
      <w:bookmarkEnd w:id="16"/>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Cs/>
          <w:iCs/>
          <w:lang w:val="pt-BR"/>
        </w:rPr>
        <w:t xml:space="preserve">aquisição </w:t>
      </w:r>
      <w:r>
        <w:rPr>
          <w:rFonts w:hint="default" w:ascii="Arial" w:hAnsi="Arial" w:cs="Arial"/>
          <w:b w:val="0"/>
          <w:bCs/>
          <w:iCs/>
          <w:lang w:val="pt-BR" w:eastAsia="pt-BR"/>
        </w:rPr>
        <w:t>de</w:t>
      </w:r>
      <w:r>
        <w:rPr>
          <w:rFonts w:hint="default" w:ascii="Arial" w:hAnsi="Arial" w:cs="Arial"/>
          <w:b/>
          <w:bCs w:val="0"/>
          <w:iCs/>
          <w:lang w:val="pt-BR" w:eastAsia="pt-BR"/>
        </w:rPr>
        <w:t xml:space="preserve"> FRALDAS INFANTIS, GERIÁTRICAS E ABSORVENTES PÓS</w:t>
      </w:r>
      <w:r>
        <w:rPr>
          <w:rFonts w:hint="default" w:ascii="Arial" w:hAnsi="Arial" w:cs="Arial"/>
          <w:b/>
          <w:bCs w:val="0"/>
          <w:iCs/>
          <w:lang w:val="en-US" w:eastAsia="pt-BR"/>
        </w:rPr>
        <w:t>-</w:t>
      </w:r>
      <w:r>
        <w:rPr>
          <w:rFonts w:hint="default" w:ascii="Arial" w:hAnsi="Arial" w:cs="Arial"/>
          <w:b/>
          <w:bCs w:val="0"/>
          <w:iCs/>
          <w:lang w:val="pt-BR" w:eastAsia="pt-BR"/>
        </w:rPr>
        <w:t>PARTO para atender as necessidades do Hospital Maternidade Dr. Mário Dutra de Castro, Farmácia Complementar, Subsecretaria de Atenção Básica - Programa Melhor em Casa</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prorrogável por até 10 anos, na forma dos </w:t>
      </w:r>
      <w:r>
        <w:rPr>
          <w:rFonts w:ascii="Arial" w:hAnsi="Arial" w:cs="Arial"/>
          <w:bCs/>
          <w:iCs/>
        </w:rPr>
        <w:fldChar w:fldCharType="begin"/>
      </w:r>
      <w:r>
        <w:rPr>
          <w:rFonts w:ascii="Arial" w:hAnsi="Arial" w:cs="Arial"/>
          <w:bCs/>
          <w:iCs/>
        </w:rPr>
        <w:instrText xml:space="preserve"> HYPERLINK "http://www.planalto.gov.br/ccivil_03/_ato2019-2022/2021/lei/L14133.htm" \l "art106" </w:instrText>
      </w:r>
      <w:r>
        <w:rPr>
          <w:rFonts w:ascii="Arial" w:hAnsi="Arial" w:cs="Arial"/>
          <w:bCs/>
          <w:iCs/>
        </w:rPr>
        <w:fldChar w:fldCharType="separate"/>
      </w:r>
      <w:r>
        <w:rPr>
          <w:rFonts w:ascii="Arial" w:hAnsi="Arial" w:cs="Arial"/>
          <w:bCs/>
          <w:iCs/>
        </w:rPr>
        <w:t>artigos 106 e 107 da Lei n° 14.133, de 2021</w:t>
      </w:r>
      <w:r>
        <w:rPr>
          <w:rFonts w:ascii="Arial" w:hAnsi="Arial" w:cs="Arial"/>
          <w:bCs/>
          <w:iCs/>
        </w:rPr>
        <w:fldChar w:fldCharType="end"/>
      </w:r>
      <w:r>
        <w:rPr>
          <w:rFonts w:ascii="Arial" w:hAnsi="Arial" w:cs="Arial"/>
          <w:bCs/>
          <w:iCs/>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contrato não poderá ser prorrogado quando o contratado tiver sido penalizado nas sanções de declaração de inidoneidade ou impedimento de licitar e contratar com poder público, observadas as abrangências de aplicação.</w:t>
      </w:r>
    </w:p>
    <w:p>
      <w:pPr>
        <w:tabs>
          <w:tab w:val="left" w:pos="426"/>
        </w:tabs>
        <w:rPr>
          <w:rFonts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3.1.1 </w:t>
      </w:r>
      <w:r>
        <w:rPr>
          <w:rFonts w:hint="default" w:ascii="Arial" w:hAnsi="Arial" w:cs="Arial"/>
          <w:bCs/>
          <w:iCs/>
          <w:lang w:val="pt-BR" w:eastAsia="zh-CN"/>
        </w:rPr>
        <w:t>O prazo de entrega dos bens é de 20 (vinte) dias corridos, contados a partir do recebimento da nota de empenho, em remessa parcelada, conforme conveniência e necessidade das Unidades Requisitantes.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3.1.2 </w:t>
      </w:r>
      <w:r>
        <w:rPr>
          <w:rFonts w:hint="default" w:ascii="Arial" w:hAnsi="Arial" w:cs="Arial"/>
          <w:bCs/>
          <w:iCs/>
          <w:lang w:val="pt-BR" w:eastAsia="zh-CN"/>
        </w:rPr>
        <w:t>A Contratada deverá proceder com a entrega do objeto no local e horário arrolados abaixo, respeitando sempre o período de solicitação de cada Unidade Requisitante: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-Almoxarifado Central – Av. Conselheiro Julius Arp, nº 80, 2º andar – Centro – Nova Friburgo. Respeitando os dias de entrega, de segunda a sexta-feira, no horário de 09:00h às 16:00h;</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-Rua Fernando Bizzoto, nº 72, lojas 1, 2 e 3. Salão comercial e sala 1, 2º andar - Centro, Nova Friburgo/RJ – Entrega deverá ser realizada no 2° Andar</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3.1.3 </w:t>
      </w:r>
      <w:r>
        <w:rPr>
          <w:rFonts w:hint="default" w:ascii="Arial" w:hAnsi="Arial" w:cs="Arial"/>
          <w:bCs/>
          <w:iCs/>
          <w:lang w:val="pt-BR" w:eastAsia="zh-CN"/>
        </w:rPr>
        <w:t xml:space="preserve">Todas as despesas com transporte, frete, seguro e descarregamento dos materiais correrão exclusivamente por conta da Contratada, sem qualquer ônus adicional para a </w:t>
      </w:r>
      <w:r>
        <w:rPr>
          <w:rFonts w:hint="default" w:ascii="Arial" w:hAnsi="Arial" w:cs="Arial"/>
          <w:bCs/>
          <w:iCs/>
          <w:lang w:val="pt-BR"/>
        </w:rPr>
        <w:t xml:space="preserve"> </w:t>
      </w:r>
      <w:r>
        <w:rPr>
          <w:rFonts w:hint="default" w:ascii="Arial" w:hAnsi="Arial" w:cs="Arial"/>
          <w:bCs/>
          <w:iCs/>
          <w:lang w:val="pt-BR" w:eastAsia="zh-CN"/>
        </w:rPr>
        <w:t>Administração. Para tanto, a Contratada deverá disponibilizar pessoal suficiente para a descarga (carregadores/chapas), bem como os equipamentos adequados necessários à movimentação dos volumes, preservando a integridade dos produtos e das instalações das Unidades.</w:t>
      </w:r>
    </w:p>
    <w:p>
      <w:pPr>
        <w:pStyle w:val="19"/>
        <w:widowControl/>
        <w:tabs>
          <w:tab w:val="left" w:pos="426"/>
        </w:tabs>
        <w:autoSpaceDE/>
        <w:autoSpaceDN/>
        <w:spacing w:before="120" w:after="120" w:line="276" w:lineRule="auto"/>
        <w:ind w:left="0"/>
        <w:jc w:val="both"/>
        <w:rPr>
          <w:rFonts w:hint="default" w:ascii="Arial" w:hAnsi="Arial" w:cs="Arial"/>
          <w:bCs/>
          <w:iCs/>
          <w:lang w:val="pt-BR" w:eastAsia="zh-CN"/>
        </w:rPr>
      </w:pPr>
      <w:r>
        <w:rPr>
          <w:rFonts w:hint="default" w:ascii="Arial" w:hAnsi="Arial" w:cs="Arial"/>
          <w:bCs/>
          <w:iCs/>
          <w:lang w:val="pt-BR"/>
        </w:rPr>
        <w:t xml:space="preserve">3.1.4 </w:t>
      </w:r>
      <w:r>
        <w:rPr>
          <w:rFonts w:hint="default" w:ascii="Arial" w:hAnsi="Arial" w:cs="Arial"/>
          <w:bCs/>
          <w:iCs/>
          <w:lang w:val="pt-BR" w:eastAsia="zh-CN"/>
        </w:rPr>
        <w:t>Caso não seja possível a entrega no horário estipulado, a empresa deverá comunicar as razões respectivas com pelo menos 2 (dois)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3.1.5 Os bens serão recebidos </w:t>
      </w:r>
      <w:r>
        <w:rPr>
          <w:rFonts w:hint="default" w:ascii="Arial" w:hAnsi="Arial" w:cs="Arial"/>
          <w:b/>
          <w:bCs w:val="0"/>
          <w:iCs/>
          <w:lang w:val="pt-BR"/>
        </w:rPr>
        <w:t>provisoriamente</w:t>
      </w:r>
      <w:r>
        <w:rPr>
          <w:rFonts w:hint="default" w:ascii="Arial" w:hAnsi="Arial" w:cs="Arial"/>
          <w:bCs/>
          <w:iCs/>
          <w:lang w:val="pt-BR"/>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3.1.7 O recebimento </w:t>
      </w:r>
      <w:r>
        <w:rPr>
          <w:rFonts w:hint="default" w:ascii="Arial" w:hAnsi="Arial" w:cs="Arial"/>
          <w:b/>
          <w:bCs w:val="0"/>
          <w:iCs/>
          <w:lang w:val="pt-BR"/>
        </w:rPr>
        <w:t>definitivo</w:t>
      </w:r>
      <w:r>
        <w:rPr>
          <w:rFonts w:hint="default" w:ascii="Arial" w:hAnsi="Arial" w:cs="Arial"/>
          <w:bCs/>
          <w:iCs/>
          <w:lang w:val="pt-BR"/>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prazo para recebimento definitivo poderá ser excepcionalmente prorrogado, de forma justificada, por igual período, quando houver necessidade de diligências para a aferição do atendimento das exigências contratuais.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No caso de controvérsia sobre a execução do objeto, quanto à dimensão, qualidade e quantidade, deverá ser observado o teor do art. 143 da Lei nº 14.133/2021, comunicando-se à empresa para emissão de Nota Fiscal quanto à parcela incontroversa da execução do objeto, para efeito de pré-liquidação, liquidação e pagamento.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O recebimento provisório ou definitivo não excluirá a responsabilidade civil pela solidez e pela segurança dos bens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O prazo para a solução, pelo Contratado, de inconsistências na execução do objeto ou de saneamento da nota fiscal ou de instrumento de cobrança equivalente, verificadas pela Administração durante a análise prévia à pré-liquidação de despesa, não será computado para os fins do recebimento definitivo.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 3.1.13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5§1"/>
      <w:bookmarkEnd w:id="3"/>
      <w:bookmarkStart w:id="4" w:name="art115§5"/>
      <w:bookmarkEnd w:id="4"/>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6"/>
      <w:bookmarkEnd w:id="5"/>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7§2"/>
      <w:bookmarkEnd w:id="6"/>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0"/>
      <w:bookmarkEnd w:id="7"/>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1"/>
      <w:bookmarkEnd w:id="8"/>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1"/>
      <w:bookmarkEnd w:id="9"/>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1"/>
      <w:bookmarkEnd w:id="10"/>
      <w:bookmarkStart w:id="11" w:name="art122§3"/>
      <w:bookmarkEnd w:id="11"/>
      <w:bookmarkStart w:id="12" w:name="art122§2"/>
      <w:bookmarkEnd w:id="12"/>
      <w:bookmarkStart w:id="13" w:name="art122"/>
      <w:bookmarkEnd w:id="13"/>
      <w:bookmarkStart w:id="14" w:name="art123"/>
      <w:bookmarkEnd w:id="14"/>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3.2.9</w:t>
      </w:r>
      <w:r>
        <w:rPr>
          <w:rFonts w:hint="default" w:ascii="Arial" w:hAnsi="Arial" w:cs="Arial"/>
          <w:bCs/>
          <w:iCs/>
          <w:lang w:val="pt-BR" w:eastAsia="en-US"/>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3.2.10</w:t>
      </w:r>
      <w:r>
        <w:rPr>
          <w:rFonts w:hint="default" w:ascii="Arial" w:hAnsi="Arial" w:cs="Arial"/>
          <w:bCs/>
          <w:iCs/>
          <w:lang w:val="pt-BR" w:eastAsia="en-US"/>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3.2.11</w:t>
      </w:r>
      <w:r>
        <w:rPr>
          <w:rFonts w:hint="default" w:ascii="Arial" w:hAnsi="Arial" w:cs="Arial"/>
          <w:bCs/>
          <w:iCs/>
          <w:lang w:val="pt-BR" w:eastAsia="en-US"/>
        </w:rPr>
        <w:t xml:space="preserve"> Para o acompanhamento, gestão e fiscalização da execução do presente contrato, serão designandos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3.2.12</w:t>
      </w:r>
      <w:r>
        <w:rPr>
          <w:rFonts w:hint="default" w:ascii="Arial" w:hAnsi="Arial" w:cs="Arial"/>
          <w:bCs/>
          <w:iCs/>
          <w:lang w:val="pt-BR" w:eastAsia="en-US"/>
        </w:rPr>
        <w:t xml:space="preserve">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3.2.13</w:t>
      </w:r>
      <w:r>
        <w:rPr>
          <w:rFonts w:hint="default" w:ascii="Arial" w:hAnsi="Arial" w:cs="Arial"/>
          <w:bCs/>
          <w:iCs/>
          <w:lang w:val="pt-BR" w:eastAsia="en-US"/>
        </w:rPr>
        <w:t xml:space="preserve">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3.2.14</w:t>
      </w:r>
      <w:r>
        <w:rPr>
          <w:rFonts w:hint="default" w:ascii="Arial" w:hAnsi="Arial" w:cs="Arial"/>
          <w:bCs/>
          <w:iCs/>
          <w:lang w:val="pt-BR" w:eastAsia="en-US"/>
        </w:rPr>
        <w:t xml:space="preserve">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de: </w:t>
      </w:r>
      <w:r>
        <w:rPr>
          <w:rFonts w:hint="default" w:ascii="Arial" w:hAnsi="Arial" w:cs="Arial" w:eastAsiaTheme="majorEastAsia"/>
          <w:b/>
          <w:bCs/>
          <w:lang w:val="en-US" w:eastAsia="pt-BR"/>
        </w:rPr>
        <w:t>FUNDO MUNICIPAL DE SAÚDE, CNPJ: 11.399.442/0001-79 -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 Todos os materiais deverão ser entregues nos endereços apontados no item 5.2 do Termo de Referência.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w:t>
      </w:r>
      <w:r>
        <w:rPr>
          <w:rFonts w:hint="default" w:ascii="Arial" w:hAnsi="Arial" w:cs="Arial" w:eastAsiaTheme="majorEastAsia"/>
          <w:b w:val="0"/>
          <w:bCs w:val="0"/>
          <w:lang w:val="en-US" w:eastAsia="pt-BR"/>
        </w:rPr>
        <w:tab/>
      </w:r>
      <w:r>
        <w:rPr>
          <w:rFonts w:hint="default" w:ascii="Arial" w:hAnsi="Arial" w:cs="Arial" w:eastAsiaTheme="majorEastAsia"/>
          <w:b w:val="0"/>
          <w:bCs w:val="0"/>
          <w:lang w:val="en-US" w:eastAsia="pt-BR"/>
        </w:rPr>
        <w:t>A liquidação será realizada pela Secretaria de Fazenda, a partir do cumprimento das obrigações elencadas no Termo de Referência, em obediência ao Decreto nº 2.493, de 07 de novembro de 2023 e o Decreto nº 3.116 de 18 de Setembro de 2024, 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w:t>
      </w:r>
      <w:r>
        <w:rPr>
          <w:rFonts w:hint="default" w:ascii="Arial" w:hAnsi="Arial" w:cs="Arial" w:eastAsiaTheme="majorEastAsia"/>
          <w:b w:val="0"/>
          <w:bCs w:val="0"/>
          <w:lang w:val="en-US" w:eastAsia="pt-BR"/>
        </w:rPr>
        <w:tab/>
      </w:r>
      <w:r>
        <w:rPr>
          <w:rFonts w:hint="default" w:ascii="Arial" w:hAnsi="Arial" w:cs="Arial" w:eastAsiaTheme="majorEastAsia"/>
          <w:b w:val="0"/>
          <w:bCs w:val="0"/>
          <w:lang w:val="en-US" w:eastAsia="pt-BR"/>
        </w:rPr>
        <w:t>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6.4.2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6"/>
        <w:numPr>
          <w:ilvl w:val="1"/>
          <w:numId w:val="3"/>
        </w:numPr>
        <w:rPr>
          <w:sz w:val="22"/>
          <w:szCs w:val="22"/>
        </w:rPr>
      </w:pPr>
      <w:r>
        <w:rPr>
          <w:sz w:val="22"/>
          <w:szCs w:val="22"/>
        </w:rPr>
        <w:t xml:space="preserve">Guardar sigilo sobre todas as informações obtidas em decorrência do cumprimento do contrato; </w:t>
      </w:r>
    </w:p>
    <w:p>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6"/>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w:t>
      </w:r>
      <w:r>
        <w:rPr>
          <w:rFonts w:hint="default" w:ascii="Arial" w:hAnsi="Arial" w:eastAsia="Arial" w:cs="Arial"/>
          <w:lang w:val="pt-BR"/>
        </w:rPr>
        <w:t>0</w:t>
      </w:r>
      <w:r>
        <w:rPr>
          <w:rFonts w:ascii="Arial" w:hAnsi="Arial" w:eastAsia="Arial" w:cs="Arial"/>
        </w:rPr>
        <w:t xml:space="preserve"> % (cinquenta centésimos por cento) por dia de atraso injustificado sobre o valor da parcela inadimplida, até o limite de </w:t>
      </w:r>
      <w:r>
        <w:rPr>
          <w:rFonts w:hint="default" w:ascii="Arial" w:hAnsi="Arial" w:eastAsia="Arial" w:cs="Arial"/>
          <w:lang w:val="pt-BR"/>
        </w:rPr>
        <w:t>3</w:t>
      </w:r>
      <w:r>
        <w:rPr>
          <w:rFonts w:ascii="Arial" w:hAnsi="Arial" w:eastAsia="Arial" w:cs="Arial"/>
        </w:rPr>
        <w:t>0 (</w:t>
      </w:r>
      <w:r>
        <w:rPr>
          <w:rFonts w:hint="default" w:ascii="Arial" w:hAnsi="Arial" w:eastAsia="Arial" w:cs="Arial"/>
          <w:lang w:val="pt-BR"/>
        </w:rPr>
        <w:t>trinta</w:t>
      </w:r>
      <w:r>
        <w:rPr>
          <w:rFonts w:ascii="Arial" w:hAnsi="Arial" w:eastAsia="Arial" w:cs="Arial"/>
        </w:rPr>
        <w:t>)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w:t>
      </w:r>
      <w:r>
        <w:rPr>
          <w:rFonts w:hint="default" w:ascii="Arial" w:hAnsi="Arial" w:eastAsia="Arial" w:cs="Arial"/>
          <w:lang w:val="pt-BR"/>
        </w:rPr>
        <w:t>2</w:t>
      </w:r>
      <w:r>
        <w:rPr>
          <w:rFonts w:ascii="Arial" w:hAnsi="Arial" w:eastAsia="Arial" w:cs="Arial"/>
        </w:rPr>
        <w:t xml:space="preserve">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w:t>
      </w:r>
      <w:r>
        <w:rPr>
          <w:rFonts w:hint="default" w:ascii="Arial" w:hAnsi="Arial" w:eastAsia="Arial" w:cs="Arial"/>
          <w:lang w:val="pt-BR"/>
        </w:rPr>
        <w:t xml:space="preserve"> a 25%</w:t>
      </w:r>
      <w:r>
        <w:rPr>
          <w:rFonts w:ascii="Arial" w:hAnsi="Arial" w:eastAsia="Arial" w:cs="Arial"/>
        </w:rPr>
        <w:t xml:space="preserve">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Para infrações descritas na alínea “d” do subitem 11.1, a multa será de </w:t>
      </w:r>
      <w:r>
        <w:rPr>
          <w:rFonts w:hint="default" w:ascii="Arial" w:hAnsi="Arial" w:eastAsia="Arial" w:cs="Arial"/>
          <w:lang w:val="pt-BR"/>
        </w:rPr>
        <w:t>1</w:t>
      </w:r>
      <w:r>
        <w:rPr>
          <w:rFonts w:ascii="Arial" w:hAnsi="Arial" w:eastAsia="Arial" w:cs="Arial"/>
        </w:rPr>
        <w:t xml:space="preserve">5% a </w:t>
      </w:r>
      <w:r>
        <w:rPr>
          <w:rFonts w:hint="default" w:ascii="Arial" w:hAnsi="Arial" w:eastAsia="Arial" w:cs="Arial"/>
          <w:lang w:val="pt-BR"/>
        </w:rPr>
        <w:t>2</w:t>
      </w:r>
      <w:r>
        <w:rPr>
          <w:rFonts w:ascii="Arial" w:hAnsi="Arial" w:eastAsia="Arial" w:cs="Arial"/>
        </w:rPr>
        <w:t>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Para a infração descrita na alínea “a” do subitem 11.1, a multa será de </w:t>
      </w:r>
      <w:r>
        <w:rPr>
          <w:rFonts w:hint="default" w:ascii="Arial" w:hAnsi="Arial" w:eastAsia="Arial" w:cs="Arial"/>
          <w:lang w:val="pt-BR"/>
        </w:rPr>
        <w:t>10</w:t>
      </w:r>
      <w:r>
        <w:rPr>
          <w:rFonts w:ascii="Arial" w:hAnsi="Arial" w:eastAsia="Arial" w:cs="Arial"/>
        </w:rPr>
        <w:t xml:space="preserve">% a </w:t>
      </w:r>
      <w:r>
        <w:rPr>
          <w:rFonts w:hint="default" w:ascii="Arial" w:hAnsi="Arial" w:eastAsia="Arial" w:cs="Arial"/>
          <w:lang w:val="pt-BR"/>
        </w:rPr>
        <w:t>20</w:t>
      </w:r>
      <w:r>
        <w:rPr>
          <w:rFonts w:ascii="Arial" w:hAnsi="Arial" w:eastAsia="Arial" w:cs="Arial"/>
        </w:rPr>
        <w:t>%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spacing w:line="276" w:lineRule="auto"/>
        <w:ind w:left="0"/>
        <w:jc w:val="both"/>
        <w:rPr>
          <w:sz w:val="22"/>
          <w:szCs w:val="22"/>
        </w:rPr>
      </w:pPr>
      <w:r>
        <w:rPr>
          <w:rFonts w:hint="default" w:ascii="Arial" w:hAnsi="Arial" w:cs="Arial"/>
          <w:b w:val="0"/>
          <w:bCs w:val="0"/>
          <w:sz w:val="22"/>
          <w:szCs w:val="22"/>
          <w:lang w:val="pt-BR"/>
        </w:rPr>
        <w:t xml:space="preserve">13.1 </w:t>
      </w:r>
      <w:r>
        <w:rPr>
          <w:rFonts w:ascii="Arial" w:hAnsi="Arial" w:cs="Arial"/>
        </w:rPr>
        <w:t xml:space="preserve"> As despesas decorrentes da presente contratação correrão à conta de recursos específicos consignados no Orçamento do Município, na forma abaixo:</w:t>
      </w:r>
    </w:p>
    <w:p>
      <w:pPr>
        <w:pStyle w:val="19"/>
        <w:spacing w:line="276" w:lineRule="auto"/>
        <w:jc w:val="both"/>
        <w:rPr>
          <w:rFonts w:ascii="Calibri" w:hAnsi="Calibri" w:cs="Calibri"/>
          <w:iCs/>
          <w:sz w:val="20"/>
          <w:szCs w:val="20"/>
        </w:rPr>
      </w:pPr>
    </w:p>
    <w:tbl>
      <w:tblPr>
        <w:tblStyle w:val="6"/>
        <w:tblW w:w="9274" w:type="dxa"/>
        <w:tblInd w:w="-39" w:type="dxa"/>
        <w:tblLayout w:type="fixed"/>
        <w:tblCellMar>
          <w:top w:w="0" w:type="dxa"/>
          <w:left w:w="10" w:type="dxa"/>
          <w:bottom w:w="0" w:type="dxa"/>
          <w:right w:w="10" w:type="dxa"/>
        </w:tblCellMar>
      </w:tblPr>
      <w:tblGrid>
        <w:gridCol w:w="3034"/>
        <w:gridCol w:w="2750"/>
        <w:gridCol w:w="1390"/>
        <w:gridCol w:w="2100"/>
      </w:tblGrid>
      <w:tr>
        <w:tblPrEx>
          <w:tblCellMar>
            <w:top w:w="0" w:type="dxa"/>
            <w:left w:w="10" w:type="dxa"/>
            <w:bottom w:w="0" w:type="dxa"/>
            <w:right w:w="10" w:type="dxa"/>
          </w:tblCellMar>
        </w:tblPrEx>
        <w:trPr>
          <w:trHeight w:val="690" w:hRule="atLeast"/>
        </w:trPr>
        <w:tc>
          <w:tcPr>
            <w:tcW w:w="3034"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pPr>
              <w:pStyle w:val="19"/>
              <w:spacing w:line="276" w:lineRule="auto"/>
              <w:ind w:left="0"/>
              <w:jc w:val="both"/>
              <w:rPr>
                <w:rFonts w:ascii="Arial" w:hAnsi="Arial" w:cs="Arial"/>
              </w:rPr>
            </w:pPr>
            <w:r>
              <w:rPr>
                <w:rFonts w:ascii="Arial" w:hAnsi="Arial" w:cs="Arial"/>
              </w:rPr>
              <w:t>Órgão/Unidade Orçamentária</w:t>
            </w:r>
          </w:p>
        </w:tc>
        <w:tc>
          <w:tcPr>
            <w:tcW w:w="2750"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pPr>
              <w:pStyle w:val="19"/>
              <w:spacing w:line="276" w:lineRule="auto"/>
              <w:ind w:left="0"/>
              <w:jc w:val="both"/>
              <w:rPr>
                <w:rFonts w:ascii="Arial" w:hAnsi="Arial" w:cs="Arial"/>
              </w:rPr>
            </w:pPr>
            <w:r>
              <w:rPr>
                <w:rFonts w:ascii="Arial" w:hAnsi="Arial" w:cs="Arial"/>
              </w:rPr>
              <w:t>Programa de Trabalho</w:t>
            </w:r>
          </w:p>
        </w:tc>
        <w:tc>
          <w:tcPr>
            <w:tcW w:w="1390" w:type="dxa"/>
            <w:tcBorders>
              <w:top w:val="single" w:color="000000" w:sz="4" w:space="0"/>
              <w:left w:val="single" w:color="000000" w:sz="4" w:space="0"/>
              <w:bottom w:val="single" w:color="000000" w:sz="4" w:space="0"/>
            </w:tcBorders>
            <w:shd w:val="clear" w:color="auto" w:fill="227ACB"/>
            <w:tcMar>
              <w:top w:w="55" w:type="dxa"/>
              <w:left w:w="55" w:type="dxa"/>
              <w:bottom w:w="55" w:type="dxa"/>
              <w:right w:w="55" w:type="dxa"/>
            </w:tcMar>
            <w:vAlign w:val="center"/>
          </w:tcPr>
          <w:p>
            <w:pPr>
              <w:pStyle w:val="19"/>
              <w:spacing w:line="276" w:lineRule="auto"/>
              <w:ind w:left="0"/>
              <w:jc w:val="both"/>
              <w:rPr>
                <w:rFonts w:ascii="Arial" w:hAnsi="Arial" w:cs="Arial"/>
              </w:rPr>
            </w:pPr>
            <w:r>
              <w:rPr>
                <w:rFonts w:ascii="Arial" w:hAnsi="Arial" w:cs="Arial"/>
              </w:rPr>
              <w:t>Fonte de Recursos</w:t>
            </w:r>
          </w:p>
        </w:tc>
        <w:tc>
          <w:tcPr>
            <w:tcW w:w="2100" w:type="dxa"/>
            <w:tcBorders>
              <w:top w:val="single" w:color="000000" w:sz="4" w:space="0"/>
              <w:left w:val="single" w:color="000000" w:sz="4" w:space="0"/>
              <w:bottom w:val="single" w:color="000000" w:sz="4" w:space="0"/>
              <w:right w:val="single" w:color="000000" w:sz="4" w:space="0"/>
            </w:tcBorders>
            <w:shd w:val="clear" w:color="auto" w:fill="227ACB"/>
            <w:tcMar>
              <w:top w:w="55" w:type="dxa"/>
              <w:left w:w="55" w:type="dxa"/>
              <w:bottom w:w="55" w:type="dxa"/>
              <w:right w:w="55" w:type="dxa"/>
            </w:tcMar>
            <w:vAlign w:val="center"/>
          </w:tcPr>
          <w:p>
            <w:pPr>
              <w:pStyle w:val="19"/>
              <w:spacing w:line="276" w:lineRule="auto"/>
              <w:ind w:left="0"/>
              <w:jc w:val="both"/>
              <w:rPr>
                <w:rFonts w:ascii="Arial" w:hAnsi="Arial" w:cs="Arial"/>
              </w:rPr>
            </w:pPr>
            <w:r>
              <w:rPr>
                <w:rFonts w:ascii="Arial" w:hAnsi="Arial" w:cs="Arial"/>
              </w:rPr>
              <w:t>Natureza da Despesa</w:t>
            </w:r>
          </w:p>
        </w:tc>
      </w:tr>
      <w:tr>
        <w:tblPrEx>
          <w:tblCellMar>
            <w:top w:w="0" w:type="dxa"/>
            <w:left w:w="10" w:type="dxa"/>
            <w:bottom w:w="0" w:type="dxa"/>
            <w:right w:w="10" w:type="dxa"/>
          </w:tblCellMar>
        </w:tblPrEx>
        <w:trPr>
          <w:trHeight w:val="753" w:hRule="atLeast"/>
        </w:trPr>
        <w:tc>
          <w:tcPr>
            <w:tcW w:w="3034"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Farmácia</w:t>
            </w:r>
          </w:p>
        </w:tc>
        <w:tc>
          <w:tcPr>
            <w:tcW w:w="275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36001.10.303.1007.2.150</w:t>
            </w:r>
          </w:p>
        </w:tc>
        <w:tc>
          <w:tcPr>
            <w:tcW w:w="139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1600</w:t>
            </w:r>
          </w:p>
        </w:tc>
        <w:tc>
          <w:tcPr>
            <w:tcW w:w="21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33.90.30.08</w:t>
            </w:r>
          </w:p>
        </w:tc>
      </w:tr>
      <w:tr>
        <w:tblPrEx>
          <w:tblCellMar>
            <w:top w:w="0" w:type="dxa"/>
            <w:left w:w="10" w:type="dxa"/>
            <w:bottom w:w="0" w:type="dxa"/>
            <w:right w:w="10" w:type="dxa"/>
          </w:tblCellMar>
        </w:tblPrEx>
        <w:trPr>
          <w:trHeight w:val="735" w:hRule="atLeast"/>
        </w:trPr>
        <w:tc>
          <w:tcPr>
            <w:tcW w:w="3034"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Hospital Maternidade Dr. Mário Dutra de Castro</w:t>
            </w:r>
          </w:p>
        </w:tc>
        <w:tc>
          <w:tcPr>
            <w:tcW w:w="275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36001.10.302.1004.2.142</w:t>
            </w:r>
          </w:p>
        </w:tc>
        <w:tc>
          <w:tcPr>
            <w:tcW w:w="139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1600</w:t>
            </w:r>
          </w:p>
        </w:tc>
        <w:tc>
          <w:tcPr>
            <w:tcW w:w="21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33.90.30.08</w:t>
            </w:r>
          </w:p>
        </w:tc>
      </w:tr>
      <w:tr>
        <w:tblPrEx>
          <w:tblCellMar>
            <w:top w:w="0" w:type="dxa"/>
            <w:left w:w="10" w:type="dxa"/>
            <w:bottom w:w="0" w:type="dxa"/>
            <w:right w:w="10" w:type="dxa"/>
          </w:tblCellMar>
        </w:tblPrEx>
        <w:trPr>
          <w:trHeight w:val="735" w:hRule="atLeast"/>
        </w:trPr>
        <w:tc>
          <w:tcPr>
            <w:tcW w:w="3034"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Programa Melhor em Casa</w:t>
            </w:r>
          </w:p>
        </w:tc>
        <w:tc>
          <w:tcPr>
            <w:tcW w:w="275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36001.10.302.1003.2.139</w:t>
            </w:r>
          </w:p>
        </w:tc>
        <w:tc>
          <w:tcPr>
            <w:tcW w:w="1390" w:type="dxa"/>
            <w:tcBorders>
              <w:left w:val="single" w:color="000000" w:sz="4" w:space="0"/>
              <w:bottom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1600</w:t>
            </w:r>
          </w:p>
        </w:tc>
        <w:tc>
          <w:tcPr>
            <w:tcW w:w="2100" w:type="dxa"/>
            <w:tcBorders>
              <w:left w:val="single" w:color="000000" w:sz="4" w:space="0"/>
              <w:bottom w:val="single" w:color="000000" w:sz="4" w:space="0"/>
              <w:right w:val="single" w:color="000000" w:sz="4" w:space="0"/>
            </w:tcBorders>
            <w:shd w:val="clear" w:color="auto" w:fill="auto"/>
            <w:tcMar>
              <w:top w:w="55" w:type="dxa"/>
              <w:left w:w="55" w:type="dxa"/>
              <w:bottom w:w="55" w:type="dxa"/>
              <w:right w:w="55" w:type="dxa"/>
            </w:tcMar>
            <w:vAlign w:val="center"/>
          </w:tcPr>
          <w:p>
            <w:pPr>
              <w:pStyle w:val="19"/>
              <w:spacing w:line="276" w:lineRule="auto"/>
              <w:ind w:left="0"/>
              <w:jc w:val="center"/>
              <w:rPr>
                <w:rFonts w:ascii="Arial" w:hAnsi="Arial" w:cs="Arial"/>
              </w:rPr>
            </w:pPr>
            <w:r>
              <w:rPr>
                <w:rFonts w:ascii="Arial" w:hAnsi="Arial" w:cs="Arial"/>
              </w:rPr>
              <w:t>33.90.30.08</w:t>
            </w:r>
          </w:p>
        </w:tc>
      </w:tr>
    </w:tbl>
    <w:p>
      <w:pPr>
        <w:spacing w:line="276" w:lineRule="auto"/>
        <w:ind w:left="1133" w:firstLine="283"/>
        <w:jc w:val="center"/>
        <w:rPr>
          <w:rFonts w:ascii="Calibri" w:hAnsi="Calibri" w:cs="Calibri"/>
          <w:iCs/>
          <w:sz w:val="20"/>
          <w:szCs w:val="20"/>
        </w:rPr>
      </w:pPr>
    </w:p>
    <w:p>
      <w:pPr>
        <w:pStyle w:val="34"/>
        <w:numPr>
          <w:ilvl w:val="0"/>
          <w:numId w:val="0"/>
        </w:numPr>
        <w:tabs>
          <w:tab w:val="left" w:pos="284"/>
          <w:tab w:val="left" w:pos="993"/>
        </w:tabs>
        <w:spacing w:line="276" w:lineRule="auto"/>
        <w:ind w:leftChars="0"/>
        <w:rPr>
          <w:rFonts w:hint="default" w:ascii="Arial" w:hAnsi="Arial" w:eastAsia="Verdana" w:cs="Arial"/>
          <w:b w:val="0"/>
          <w:bCs w:val="0"/>
          <w:sz w:val="22"/>
          <w:szCs w:val="22"/>
          <w:lang w:val="pt-BR" w:eastAsia="en-US" w:bidi="ar-SA"/>
        </w:rPr>
      </w:pPr>
      <w:r>
        <w:rPr>
          <w:rFonts w:hint="default" w:ascii="Arial" w:hAnsi="Arial" w:eastAsia="Verdana" w:cs="Arial"/>
          <w:b w:val="0"/>
          <w:bCs w:val="0"/>
          <w:sz w:val="22"/>
          <w:szCs w:val="22"/>
          <w:lang w:val="pt-BR" w:eastAsia="en-US" w:bidi="ar-SA"/>
        </w:rPr>
        <w:t>13</w:t>
      </w:r>
      <w:r>
        <w:rPr>
          <w:rFonts w:ascii="Arial" w:hAnsi="Arial" w:eastAsia="Verdana" w:cs="Arial"/>
          <w:b w:val="0"/>
          <w:bCs w:val="0"/>
          <w:sz w:val="22"/>
          <w:szCs w:val="22"/>
          <w:lang w:val="pt-PT" w:eastAsia="en-US" w:bidi="ar-SA"/>
        </w:rPr>
        <w:t xml:space="preserve">.2 A dotação relativa aos exercícios financeiros subsequentes será indicada após aprovação da Lei Orçamentária respectiva e liberação dos créditos correspondentes, mediante apostilamento.     </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rPr>
        <w:rFonts w:hint="default" w:ascii="Arial" w:hAnsi="Arial" w:cs="Arial"/>
        <w:sz w:val="18"/>
        <w:szCs w:val="18"/>
      </w:rPr>
      <w:fldChar w:fldCharType="begin"/>
    </w:r>
    <w:r>
      <w:rPr>
        <w:rFonts w:hint="default" w:ascii="Arial" w:hAnsi="Arial" w:cs="Arial"/>
        <w:sz w:val="18"/>
        <w:szCs w:val="18"/>
      </w:rPr>
      <w:instrText xml:space="preserve"> HYPERLINK "mailto:licitacaopmnf@gmail.com" </w:instrText>
    </w:r>
    <w:r>
      <w:rPr>
        <w:rFonts w:hint="default" w:ascii="Arial" w:hAnsi="Arial" w:cs="Arial"/>
        <w:sz w:val="18"/>
        <w:szCs w:val="18"/>
      </w:rPr>
      <w:fldChar w:fldCharType="separate"/>
    </w:r>
    <w:r>
      <w:rPr>
        <w:rStyle w:val="9"/>
        <w:rFonts w:hint="default" w:ascii="Arial" w:hAnsi="Arial" w:cs="Arial"/>
        <w:sz w:val="18"/>
        <w:szCs w:val="18"/>
      </w:rPr>
      <w:t>licitacaopmnf@gmail.com</w:t>
    </w:r>
    <w:r>
      <w:rPr>
        <w:rFonts w:hint="default"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14"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6F5F"/>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8C80C2A"/>
    <w:rsid w:val="11CC2ACE"/>
    <w:rsid w:val="159B4293"/>
    <w:rsid w:val="1AD36CA2"/>
    <w:rsid w:val="1AF72D93"/>
    <w:rsid w:val="1BF7019A"/>
    <w:rsid w:val="1D701EFD"/>
    <w:rsid w:val="1FD12E07"/>
    <w:rsid w:val="28C7767B"/>
    <w:rsid w:val="33116575"/>
    <w:rsid w:val="33FA42E6"/>
    <w:rsid w:val="375455CE"/>
    <w:rsid w:val="37A80C02"/>
    <w:rsid w:val="39787F2B"/>
    <w:rsid w:val="3C4D19A5"/>
    <w:rsid w:val="3C9967A2"/>
    <w:rsid w:val="3CBD2F98"/>
    <w:rsid w:val="3D361311"/>
    <w:rsid w:val="3EB22054"/>
    <w:rsid w:val="3EE908A4"/>
    <w:rsid w:val="3FD130FA"/>
    <w:rsid w:val="3FD15728"/>
    <w:rsid w:val="41DE720B"/>
    <w:rsid w:val="477F5ADC"/>
    <w:rsid w:val="48427007"/>
    <w:rsid w:val="48613599"/>
    <w:rsid w:val="4A7E6F1C"/>
    <w:rsid w:val="4B9441E7"/>
    <w:rsid w:val="4ED37012"/>
    <w:rsid w:val="501F24D5"/>
    <w:rsid w:val="507164F2"/>
    <w:rsid w:val="5196567B"/>
    <w:rsid w:val="54F95D0A"/>
    <w:rsid w:val="5C237373"/>
    <w:rsid w:val="623C6820"/>
    <w:rsid w:val="631A7A43"/>
    <w:rsid w:val="64937EAB"/>
    <w:rsid w:val="655965EF"/>
    <w:rsid w:val="659F1F53"/>
    <w:rsid w:val="6785444B"/>
    <w:rsid w:val="68532C20"/>
    <w:rsid w:val="69F34778"/>
    <w:rsid w:val="6DD42735"/>
    <w:rsid w:val="702F19CB"/>
    <w:rsid w:val="749B1192"/>
    <w:rsid w:val="75FD4D18"/>
    <w:rsid w:val="77B2358A"/>
    <w:rsid w:val="78ED74DF"/>
    <w:rsid w:val="7EE219D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next w:val="1"/>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0</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2026-08-18T18:26:05Z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